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AA" w:rsidRDefault="001173AA" w:rsidP="006D4EEE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>ПАСПОРТ УСЛУГИ (ПРОЦЕССА</w:t>
      </w:r>
      <w:r w:rsidR="001807E7">
        <w:rPr>
          <w:rFonts w:ascii="Times New Roman" w:hAnsi="Times New Roman" w:cs="Times New Roman"/>
          <w:color w:val="auto"/>
          <w:sz w:val="24"/>
          <w:szCs w:val="24"/>
        </w:rPr>
        <w:t>) АО «КЭС КМР»</w:t>
      </w:r>
    </w:p>
    <w:p w:rsidR="006D4EEE" w:rsidRPr="006D4EEE" w:rsidRDefault="006D4EEE" w:rsidP="006D4EEE"/>
    <w:p w:rsidR="00E01206" w:rsidRPr="00E27F46" w:rsidRDefault="00E01206" w:rsidP="009D4E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F46">
        <w:rPr>
          <w:rFonts w:ascii="Times New Roman" w:hAnsi="Times New Roman" w:cs="Times New Roman"/>
          <w:b/>
          <w:sz w:val="24"/>
          <w:szCs w:val="24"/>
        </w:rPr>
        <w:t>КОД 1.1</w:t>
      </w:r>
      <w:r w:rsidR="00823FF3" w:rsidRPr="00E27F46">
        <w:rPr>
          <w:rFonts w:ascii="Times New Roman" w:hAnsi="Times New Roman" w:cs="Times New Roman"/>
          <w:b/>
          <w:sz w:val="24"/>
          <w:szCs w:val="24"/>
        </w:rPr>
        <w:t>3</w:t>
      </w:r>
      <w:r w:rsidRPr="00E27F46">
        <w:rPr>
          <w:rFonts w:ascii="Times New Roman" w:hAnsi="Times New Roman" w:cs="Times New Roman"/>
          <w:b/>
          <w:sz w:val="24"/>
          <w:szCs w:val="24"/>
        </w:rPr>
        <w:t>. КОНТРОЛЬ ЗНАЧЕНИЙ СООТНОШЕНИЯ ПОТРЕБЛЕНИЯ АКТИВНОЙ И РЕАКТИВНОЙ МОЩНОСТИ ДЛЯ ОТДЕЛЬНЫХ ЭНЕРГОПРИНИМАЮЩИХ УСТРОЙСТВ (ГРУПП ЭНЕРГОПРИНИМАЮЩИХ УСТРОЙСТВ) ПОТРЕБИТЕЛЯ</w:t>
      </w:r>
    </w:p>
    <w:p w:rsidR="000653F9" w:rsidRPr="00E27F46" w:rsidRDefault="000653F9" w:rsidP="009D4E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E27F46" w:rsidRDefault="008C2E25" w:rsidP="009D4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F46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E27F4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27F46">
        <w:rPr>
          <w:rFonts w:ascii="Times New Roman" w:hAnsi="Times New Roman" w:cs="Times New Roman"/>
          <w:sz w:val="24"/>
          <w:szCs w:val="24"/>
        </w:rPr>
        <w:t>Ю</w:t>
      </w:r>
      <w:r w:rsidR="00584BD8" w:rsidRPr="00E27F46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E27F46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E27F46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</w:p>
    <w:p w:rsidR="005B627E" w:rsidRPr="00E27F46" w:rsidRDefault="008C2E25" w:rsidP="009D4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F46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E27F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7F46">
        <w:rPr>
          <w:rFonts w:ascii="Times New Roman" w:hAnsi="Times New Roman" w:cs="Times New Roman"/>
          <w:sz w:val="24"/>
          <w:szCs w:val="24"/>
        </w:rPr>
        <w:t>П</w:t>
      </w:r>
      <w:r w:rsidR="00584BD8" w:rsidRPr="00E27F46">
        <w:rPr>
          <w:rFonts w:ascii="Times New Roman" w:hAnsi="Times New Roman" w:cs="Times New Roman"/>
          <w:sz w:val="24"/>
          <w:szCs w:val="24"/>
        </w:rPr>
        <w:t>лата не взымается.</w:t>
      </w:r>
    </w:p>
    <w:p w:rsidR="00405B1D" w:rsidRPr="00E27F46" w:rsidRDefault="008C2E25" w:rsidP="009D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F46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E27F46">
        <w:rPr>
          <w:rFonts w:ascii="Times New Roman" w:hAnsi="Times New Roman" w:cs="Times New Roman"/>
          <w:sz w:val="24"/>
          <w:szCs w:val="24"/>
        </w:rPr>
        <w:t xml:space="preserve"> </w:t>
      </w:r>
      <w:r w:rsidR="003D4D3D" w:rsidRPr="00E27F46">
        <w:rPr>
          <w:rFonts w:ascii="Times New Roman" w:hAnsi="Times New Roman" w:cs="Times New Roman"/>
          <w:sz w:val="24"/>
          <w:szCs w:val="24"/>
        </w:rPr>
        <w:t>т</w:t>
      </w:r>
      <w:r w:rsidR="00C25F4B" w:rsidRPr="00E27F46">
        <w:rPr>
          <w:rFonts w:ascii="Times New Roman" w:hAnsi="Times New Roman" w:cs="Times New Roman"/>
          <w:sz w:val="24"/>
          <w:szCs w:val="24"/>
        </w:rPr>
        <w:t xml:space="preserve">ехнологическое присоединение </w:t>
      </w:r>
      <w:r w:rsidR="00242530" w:rsidRPr="00E27F46">
        <w:rPr>
          <w:rFonts w:ascii="Times New Roman" w:hAnsi="Times New Roman" w:cs="Times New Roman"/>
          <w:sz w:val="24"/>
          <w:szCs w:val="24"/>
        </w:rPr>
        <w:t>к</w:t>
      </w:r>
      <w:r w:rsidR="006F2514" w:rsidRPr="00E27F46">
        <w:rPr>
          <w:rFonts w:ascii="Times New Roman" w:hAnsi="Times New Roman" w:cs="Times New Roman"/>
          <w:sz w:val="24"/>
          <w:szCs w:val="24"/>
        </w:rPr>
        <w:t xml:space="preserve"> электрическим сетям сетевой организации</w:t>
      </w:r>
      <w:r w:rsidR="00405B1D" w:rsidRPr="00E27F46">
        <w:rPr>
          <w:rFonts w:ascii="Times New Roman" w:hAnsi="Times New Roman" w:cs="Times New Roman"/>
          <w:sz w:val="24"/>
          <w:szCs w:val="24"/>
        </w:rPr>
        <w:t xml:space="preserve"> в установленном порядке энергопринимающих устройств и (или) объек</w:t>
      </w:r>
      <w:r w:rsidR="00675DBB" w:rsidRPr="00E27F46">
        <w:rPr>
          <w:rFonts w:ascii="Times New Roman" w:hAnsi="Times New Roman" w:cs="Times New Roman"/>
          <w:sz w:val="24"/>
          <w:szCs w:val="24"/>
        </w:rPr>
        <w:t xml:space="preserve">тов электроэнергетики потребителя, </w:t>
      </w:r>
      <w:r w:rsidR="00B84849" w:rsidRPr="00E27F46">
        <w:rPr>
          <w:rFonts w:ascii="Times New Roman" w:hAnsi="Times New Roman" w:cs="Times New Roman"/>
          <w:sz w:val="24"/>
          <w:szCs w:val="24"/>
        </w:rPr>
        <w:t xml:space="preserve">заключенный с </w:t>
      </w:r>
      <w:r w:rsidR="001807E7" w:rsidRPr="00E27F46">
        <w:rPr>
          <w:rFonts w:ascii="Times New Roman" w:hAnsi="Times New Roman" w:cs="Times New Roman"/>
          <w:sz w:val="24"/>
          <w:szCs w:val="24"/>
        </w:rPr>
        <w:t>АО «КЭС КМР</w:t>
      </w:r>
      <w:r w:rsidR="006D4EEE" w:rsidRPr="00E27F46">
        <w:rPr>
          <w:rFonts w:ascii="Times New Roman" w:hAnsi="Times New Roman" w:cs="Times New Roman"/>
          <w:sz w:val="24"/>
          <w:szCs w:val="24"/>
        </w:rPr>
        <w:t>»</w:t>
      </w:r>
      <w:r w:rsidR="00B84849" w:rsidRPr="00E27F46">
        <w:rPr>
          <w:rFonts w:ascii="Times New Roman" w:hAnsi="Times New Roman" w:cs="Times New Roman"/>
          <w:sz w:val="24"/>
          <w:szCs w:val="24"/>
        </w:rPr>
        <w:t xml:space="preserve"> договор об оказании услуг по передаче электрической энергии или договор энергоснабжения с гарантирующим поставщиком (энергосбытовой организацией)</w:t>
      </w:r>
      <w:r w:rsidR="007919F1" w:rsidRPr="00E27F46">
        <w:rPr>
          <w:rFonts w:ascii="Times New Roman" w:hAnsi="Times New Roman" w:cs="Times New Roman"/>
          <w:sz w:val="24"/>
          <w:szCs w:val="24"/>
        </w:rPr>
        <w:t xml:space="preserve">, наличие приборов учёта, позволяющих учитывать почасовые значения активной и реактивной энергии, потреблённой </w:t>
      </w:r>
      <w:proofErr w:type="spellStart"/>
      <w:r w:rsidR="007919F1" w:rsidRPr="00E27F46">
        <w:rPr>
          <w:rFonts w:ascii="Times New Roman" w:hAnsi="Times New Roman" w:cs="Times New Roman"/>
          <w:sz w:val="24"/>
          <w:szCs w:val="24"/>
        </w:rPr>
        <w:t>энергопринимающими</w:t>
      </w:r>
      <w:proofErr w:type="spellEnd"/>
      <w:r w:rsidR="007919F1" w:rsidRPr="00E27F46">
        <w:rPr>
          <w:rFonts w:ascii="Times New Roman" w:hAnsi="Times New Roman" w:cs="Times New Roman"/>
          <w:sz w:val="24"/>
          <w:szCs w:val="24"/>
        </w:rPr>
        <w:t xml:space="preserve"> устройствами заявителей</w:t>
      </w:r>
      <w:r w:rsidR="00675DBB" w:rsidRPr="00E27F4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75DBB" w:rsidRPr="00E27F46" w:rsidRDefault="00675DBB" w:rsidP="009D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F46">
        <w:rPr>
          <w:rFonts w:ascii="Times New Roman" w:hAnsi="Times New Roman" w:cs="Times New Roman"/>
          <w:b/>
          <w:sz w:val="24"/>
          <w:szCs w:val="24"/>
        </w:rPr>
        <w:t xml:space="preserve">ОБЩИЙ СРОК ОКАЗАНИЯ УСЛУГИ (ПРОЦЕССА): </w:t>
      </w:r>
      <w:r w:rsidR="00534E9A" w:rsidRPr="00E27F46">
        <w:rPr>
          <w:rFonts w:ascii="Times New Roman" w:hAnsi="Times New Roman" w:cs="Times New Roman"/>
          <w:sz w:val="24"/>
          <w:szCs w:val="24"/>
        </w:rPr>
        <w:t xml:space="preserve">30 дней </w:t>
      </w:r>
      <w:proofErr w:type="gramStart"/>
      <w:r w:rsidR="00534E9A" w:rsidRPr="00E27F46">
        <w:rPr>
          <w:rFonts w:ascii="Times New Roman" w:hAnsi="Times New Roman" w:cs="Times New Roman"/>
          <w:sz w:val="24"/>
          <w:szCs w:val="24"/>
        </w:rPr>
        <w:t>с даты проведения</w:t>
      </w:r>
      <w:proofErr w:type="gramEnd"/>
      <w:r w:rsidR="00534E9A" w:rsidRPr="00E27F46">
        <w:rPr>
          <w:rFonts w:ascii="Times New Roman" w:hAnsi="Times New Roman" w:cs="Times New Roman"/>
          <w:sz w:val="24"/>
          <w:szCs w:val="24"/>
        </w:rPr>
        <w:t xml:space="preserve"> соответствующей проверки или снятия контрольных показаний приборов учёта</w:t>
      </w:r>
    </w:p>
    <w:p w:rsidR="008C2E25" w:rsidRPr="00E27F46" w:rsidRDefault="008C2E25" w:rsidP="009D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F46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E27F46">
        <w:rPr>
          <w:rFonts w:ascii="Times New Roman" w:hAnsi="Times New Roman" w:cs="Times New Roman"/>
          <w:sz w:val="24"/>
          <w:szCs w:val="24"/>
        </w:rPr>
        <w:t xml:space="preserve"> </w:t>
      </w:r>
      <w:r w:rsidR="00675DBB" w:rsidRPr="00E27F46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401788" w:rsidRPr="00E27F46">
        <w:rPr>
          <w:rFonts w:ascii="Times New Roman" w:hAnsi="Times New Roman" w:cs="Times New Roman"/>
          <w:sz w:val="24"/>
          <w:szCs w:val="24"/>
        </w:rPr>
        <w:t>соблюдения значений соотношений потреблённой активной и реактивной мощности</w:t>
      </w:r>
      <w:r w:rsidRPr="00E27F46">
        <w:rPr>
          <w:rFonts w:ascii="Times New Roman" w:hAnsi="Times New Roman" w:cs="Times New Roman"/>
          <w:sz w:val="24"/>
          <w:szCs w:val="24"/>
        </w:rPr>
        <w:t>.</w:t>
      </w:r>
    </w:p>
    <w:p w:rsidR="000653F9" w:rsidRPr="00E27F46" w:rsidRDefault="008C2E25" w:rsidP="009D4EB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27F46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82"/>
        <w:gridCol w:w="1835"/>
        <w:gridCol w:w="2603"/>
        <w:gridCol w:w="2737"/>
        <w:gridCol w:w="2262"/>
        <w:gridCol w:w="1764"/>
        <w:gridCol w:w="2634"/>
      </w:tblGrid>
      <w:tr w:rsidR="009D4EB7" w:rsidRPr="009D4EB7" w:rsidTr="00E27F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  <w:shd w:val="clear" w:color="auto" w:fill="D6E3BC" w:themeFill="accent3" w:themeFillTint="66"/>
          </w:tcPr>
          <w:p w:rsidR="009D7322" w:rsidRPr="00E27F46" w:rsidRDefault="009D7322" w:rsidP="009D4EB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27F4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9D7322" w:rsidRPr="00E27F46" w:rsidRDefault="009D7322" w:rsidP="009D4EB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27F4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90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9D7322" w:rsidRPr="00E27F46" w:rsidRDefault="009D7322" w:rsidP="009D4E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27F4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9D7322" w:rsidRPr="00E27F46" w:rsidRDefault="009D7322" w:rsidP="009D4EB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27F4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9D7322" w:rsidRPr="00E27F46" w:rsidRDefault="009D7322" w:rsidP="009D4E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27F4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9D7322" w:rsidRPr="00E27F46" w:rsidRDefault="009D7322" w:rsidP="009D4EB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27F4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2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  <w:shd w:val="clear" w:color="auto" w:fill="D6E3BC" w:themeFill="accent3" w:themeFillTint="66"/>
          </w:tcPr>
          <w:p w:rsidR="009D7322" w:rsidRPr="00E27F46" w:rsidRDefault="009D7322" w:rsidP="009D4E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27F4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9D4EB7" w:rsidRPr="009D4EB7" w:rsidTr="009D4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tcBorders>
              <w:top w:val="double" w:sz="4" w:space="0" w:color="4F81BD" w:themeColor="accent1"/>
            </w:tcBorders>
          </w:tcPr>
          <w:p w:rsidR="007919F1" w:rsidRPr="009D4EB7" w:rsidRDefault="007919F1" w:rsidP="009D4EB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  <w:tcBorders>
              <w:top w:val="double" w:sz="4" w:space="0" w:color="4F81BD" w:themeColor="accent1"/>
            </w:tcBorders>
          </w:tcPr>
          <w:p w:rsidR="007919F1" w:rsidRPr="009D4EB7" w:rsidRDefault="007919F1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Снятие профилей мощности активной и реактивной мощности</w:t>
            </w:r>
          </w:p>
        </w:tc>
        <w:tc>
          <w:tcPr>
            <w:tcW w:w="909" w:type="pct"/>
            <w:tcBorders>
              <w:top w:val="double" w:sz="4" w:space="0" w:color="4F81BD" w:themeColor="accent1"/>
            </w:tcBorders>
          </w:tcPr>
          <w:p w:rsidR="007919F1" w:rsidRPr="009D4EB7" w:rsidRDefault="00CF1785" w:rsidP="009D4EB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При проведении проверок расчётных приборов учёта или снятии контрольных показаний приборов учёта в случае необходимости с прибора учёта снимаются данные о почасовом потреблении активной и реактивной энергии</w:t>
            </w:r>
            <w:r w:rsidRPr="009D4EB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double" w:sz="4" w:space="0" w:color="4F81BD" w:themeColor="accent1"/>
            </w:tcBorders>
          </w:tcPr>
          <w:p w:rsidR="007919F1" w:rsidRPr="009D4EB7" w:rsidRDefault="007919F1" w:rsidP="009D4E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Установление и фиксация объемов мощности</w:t>
            </w:r>
            <w:r w:rsidRPr="009D4EB7" w:rsidDel="00085C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90" w:type="pct"/>
            <w:tcBorders>
              <w:top w:val="double" w:sz="4" w:space="0" w:color="4F81BD" w:themeColor="accent1"/>
            </w:tcBorders>
          </w:tcPr>
          <w:p w:rsidR="007919F1" w:rsidRPr="009D4EB7" w:rsidRDefault="00CF1785" w:rsidP="009D4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Очно при выполнении действий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double" w:sz="4" w:space="0" w:color="4F81BD" w:themeColor="accent1"/>
            </w:tcBorders>
          </w:tcPr>
          <w:p w:rsidR="007919F1" w:rsidRPr="009D4EB7" w:rsidRDefault="00CF1785" w:rsidP="009D4EB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При проведении проверок расчётных приборов учёта или снятии контрольных показаний приборов учёта</w:t>
            </w:r>
          </w:p>
        </w:tc>
        <w:tc>
          <w:tcPr>
            <w:tcW w:w="920" w:type="pct"/>
            <w:tcBorders>
              <w:top w:val="double" w:sz="4" w:space="0" w:color="4F81BD" w:themeColor="accent1"/>
            </w:tcBorders>
          </w:tcPr>
          <w:p w:rsidR="004D2FC8" w:rsidRPr="009D4EB7" w:rsidRDefault="004D2FC8" w:rsidP="009D4EB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Правила недискриминационного доступа</w:t>
            </w:r>
            <w:r w:rsidRPr="009D4EB7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D2FC8" w:rsidRPr="009D4EB7" w:rsidRDefault="004D2FC8" w:rsidP="009D4EB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Основы функционирования розничных рынков электрической энергии</w:t>
            </w:r>
            <w:r w:rsidRPr="009D4EB7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919F1" w:rsidRPr="009D4EB7" w:rsidRDefault="007919F1" w:rsidP="009D4EB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Минпромэнерго</w:t>
            </w:r>
            <w:proofErr w:type="spellEnd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 РФ №49 от 22.02.2007г.</w:t>
            </w:r>
          </w:p>
        </w:tc>
      </w:tr>
      <w:tr w:rsidR="009D4EB7" w:rsidRPr="009D4EB7" w:rsidTr="009D4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</w:tcPr>
          <w:p w:rsidR="007919F1" w:rsidRPr="009D4EB7" w:rsidRDefault="007919F1" w:rsidP="009D4EB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</w:tcPr>
          <w:p w:rsidR="007919F1" w:rsidRPr="009D4EB7" w:rsidRDefault="007919F1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Расчет значения соотношения потребления реактивной и активной мощности.</w:t>
            </w:r>
          </w:p>
        </w:tc>
        <w:tc>
          <w:tcPr>
            <w:tcW w:w="909" w:type="pct"/>
          </w:tcPr>
          <w:p w:rsidR="007919F1" w:rsidRPr="009D4EB7" w:rsidRDefault="007919F1" w:rsidP="009D4EB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При наличии профилей активной и реактивной </w:t>
            </w:r>
            <w:r w:rsidR="004D2FC8" w:rsidRPr="009D4EB7">
              <w:rPr>
                <w:rFonts w:ascii="Times New Roman" w:eastAsia="Times New Roman" w:hAnsi="Times New Roman" w:cs="Times New Roman"/>
                <w:lang w:eastAsia="ru-RU"/>
              </w:rPr>
              <w:t>мощности</w:t>
            </w:r>
          </w:p>
          <w:p w:rsidR="007919F1" w:rsidRPr="009D4EB7" w:rsidRDefault="007919F1" w:rsidP="009D4EB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Сумма часов, составляющих определяемые соответствующими договорами периоды больших и малых нагрузок, должна быть равна 24 часам. Если иное не определено договором, часами больших нагрузок считается период с 7 ч 00 мин. до 23 ч 00 мин., а часами малых нагрузок - с 23 ч 00 мин. до 7 ч 00 мин.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7919F1" w:rsidRPr="009D4EB7" w:rsidRDefault="004D2FC8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Расчет коэффициента активной и реактивной мощности. Значения коэффициентов реактивной мощности определяются отдельно для каждой точки присоединения к электрической сети в отношении всех потребителей, за исключением потребителей, получающих электрическую энергию по нескольким линиям напряжением 6 - 20 кВ от одной подстанции или электростанции, для которых эти значения рассчитываются в виде суммарных величин.</w:t>
            </w:r>
          </w:p>
        </w:tc>
        <w:tc>
          <w:tcPr>
            <w:tcW w:w="790" w:type="pct"/>
          </w:tcPr>
          <w:p w:rsidR="007919F1" w:rsidRPr="009D4EB7" w:rsidRDefault="007919F1" w:rsidP="009D4EB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7919F1" w:rsidRPr="009D4EB7" w:rsidRDefault="007919F1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1 час 50 минут</w:t>
            </w:r>
          </w:p>
        </w:tc>
        <w:tc>
          <w:tcPr>
            <w:tcW w:w="920" w:type="pct"/>
          </w:tcPr>
          <w:p w:rsidR="007919F1" w:rsidRPr="009D4EB7" w:rsidRDefault="007919F1" w:rsidP="009D4E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Минпромэнерго</w:t>
            </w:r>
            <w:proofErr w:type="spellEnd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 РФ №49 от 22.02.2007г.</w:t>
            </w:r>
          </w:p>
        </w:tc>
      </w:tr>
      <w:tr w:rsidR="009D4EB7" w:rsidRPr="009D4EB7" w:rsidTr="009D4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</w:tcPr>
          <w:p w:rsidR="007919F1" w:rsidRPr="009D4EB7" w:rsidRDefault="007919F1" w:rsidP="009D4EB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</w:tcPr>
          <w:p w:rsidR="007919F1" w:rsidRPr="009D4EB7" w:rsidRDefault="007919F1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коэффициента реактивной мощности </w:t>
            </w:r>
            <w:proofErr w:type="spellStart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tg</w:t>
            </w:r>
            <w:proofErr w:type="spellEnd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 φ </w:t>
            </w:r>
          </w:p>
        </w:tc>
        <w:tc>
          <w:tcPr>
            <w:tcW w:w="909" w:type="pct"/>
          </w:tcPr>
          <w:p w:rsidR="007919F1" w:rsidRPr="009D4EB7" w:rsidRDefault="007919F1" w:rsidP="009D4EB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Для потребителей, присоединенных к сетям напряжением 220 кВ и выше, а также к сетям 110 кВ (154 кВ), в случаях, когда они оказывают существенное влияние на электроэнергетические режимы работы энергосистем (</w:t>
            </w:r>
            <w:proofErr w:type="spellStart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энергорайонов</w:t>
            </w:r>
            <w:proofErr w:type="spellEnd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энергоузлов</w:t>
            </w:r>
            <w:proofErr w:type="spellEnd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предельное значение коэффициента реактивной мощности, потребляемой в часы больших суточных нагрузок электрической сети, а также диапазоны коэффициента реактивной мощности, применяемые в периоды участия потребителя в регулировании реактивной мощности</w:t>
            </w:r>
            <w:proofErr w:type="gramEnd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, определяют на основе расчетов режимов работы электрической сети в указанные периоды, выполняемых как для нормальной, так и для ремонтной схем сети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7919F1" w:rsidRPr="009D4EB7" w:rsidRDefault="007919F1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Предельные значения коэффициента реактивной мощности, потребляемой в часы больших суточных нагрузок электрической сети, для потребителей, присоединенных к сетям напряжением ниже 220 кВ, определяются в соответствии с </w:t>
            </w:r>
            <w:hyperlink r:id="rId9" w:history="1">
              <w:r w:rsidRPr="009D4EB7">
                <w:rPr>
                  <w:rFonts w:ascii="Times New Roman" w:eastAsia="Times New Roman" w:hAnsi="Times New Roman" w:cs="Times New Roman"/>
                  <w:lang w:eastAsia="ru-RU"/>
                </w:rPr>
                <w:t>приложением</w:t>
              </w:r>
            </w:hyperlink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 к Приказ</w:t>
            </w:r>
            <w:r w:rsidR="0002598C" w:rsidRPr="009D4EB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Минпромэнерго</w:t>
            </w:r>
            <w:proofErr w:type="spellEnd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 РФ №49 от 22.02.2007г.</w:t>
            </w:r>
          </w:p>
          <w:p w:rsidR="007919F1" w:rsidRPr="009D4EB7" w:rsidRDefault="007919F1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pct"/>
          </w:tcPr>
          <w:p w:rsidR="007919F1" w:rsidRPr="009D4EB7" w:rsidRDefault="007919F1" w:rsidP="009D4EB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4D2FC8" w:rsidRPr="009D4EB7" w:rsidRDefault="004D2FC8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2 часа 30 минут</w:t>
            </w:r>
          </w:p>
          <w:p w:rsidR="007919F1" w:rsidRPr="009D4EB7" w:rsidRDefault="007919F1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pct"/>
          </w:tcPr>
          <w:p w:rsidR="007919F1" w:rsidRPr="009D4EB7" w:rsidRDefault="004D2FC8" w:rsidP="009D4EB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Минпромэнерго</w:t>
            </w:r>
            <w:proofErr w:type="spellEnd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 РФ №49 от 22.02.2007г.</w:t>
            </w:r>
          </w:p>
        </w:tc>
      </w:tr>
      <w:tr w:rsidR="009D4EB7" w:rsidRPr="009D4EB7" w:rsidTr="009D4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</w:tcPr>
          <w:p w:rsidR="0002598C" w:rsidRPr="009D4EB7" w:rsidRDefault="0002598C" w:rsidP="009D4EB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</w:tcPr>
          <w:p w:rsidR="0002598C" w:rsidRPr="009D4EB7" w:rsidRDefault="0002598C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Контроль значений соотношения потребления активной и реактивной мощности</w:t>
            </w:r>
            <w:r w:rsidR="00C514F8" w:rsidRPr="009D4EB7">
              <w:rPr>
                <w:rFonts w:ascii="Times New Roman" w:eastAsia="Times New Roman" w:hAnsi="Times New Roman" w:cs="Times New Roman"/>
                <w:lang w:eastAsia="ru-RU"/>
              </w:rPr>
              <w:t>, направление акта потребителю</w:t>
            </w:r>
          </w:p>
        </w:tc>
        <w:tc>
          <w:tcPr>
            <w:tcW w:w="909" w:type="pct"/>
          </w:tcPr>
          <w:p w:rsidR="0002598C" w:rsidRPr="009D4EB7" w:rsidRDefault="0002598C" w:rsidP="009D4EB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При выявлении факта нарушения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02598C" w:rsidRPr="009D4EB7" w:rsidRDefault="0002598C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На основании показаний прибора учёта определяется факт соблюдения или нарушения значений соотношений потреблённой активной и реактивной мощности,</w:t>
            </w:r>
            <w:r w:rsidR="00C514F8"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 при выявлении факта нарушения </w:t>
            </w: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составля</w:t>
            </w:r>
            <w:r w:rsidR="00C514F8" w:rsidRPr="009D4EB7">
              <w:rPr>
                <w:rFonts w:ascii="Times New Roman" w:eastAsia="Times New Roman" w:hAnsi="Times New Roman" w:cs="Times New Roman"/>
                <w:lang w:eastAsia="ru-RU"/>
              </w:rPr>
              <w:t>ется акт, который направляется потребителю</w:t>
            </w:r>
          </w:p>
        </w:tc>
        <w:tc>
          <w:tcPr>
            <w:tcW w:w="790" w:type="pct"/>
          </w:tcPr>
          <w:p w:rsidR="0002598C" w:rsidRPr="009D4EB7" w:rsidRDefault="00A705D8" w:rsidP="009D4EB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Письменное направление акта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02598C" w:rsidRPr="009D4EB7" w:rsidRDefault="0002598C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30 дней </w:t>
            </w:r>
            <w:proofErr w:type="gramStart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с даты проведения</w:t>
            </w:r>
            <w:proofErr w:type="gramEnd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соответствующей проверки или снятия контрольных показаний приборов учёта</w:t>
            </w:r>
          </w:p>
        </w:tc>
        <w:tc>
          <w:tcPr>
            <w:tcW w:w="920" w:type="pct"/>
          </w:tcPr>
          <w:p w:rsidR="0002598C" w:rsidRPr="009D4EB7" w:rsidRDefault="00A705D8" w:rsidP="009D4EB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Правил недискриминационного доступа</w:t>
            </w:r>
            <w:r w:rsidR="0002598C" w:rsidRPr="009D4EB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2598C" w:rsidRPr="009D4EB7" w:rsidRDefault="0002598C" w:rsidP="009D4EB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Минпромэнерго</w:t>
            </w:r>
            <w:proofErr w:type="spellEnd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 РФ №49 от 22.02.2007г.</w:t>
            </w:r>
          </w:p>
        </w:tc>
      </w:tr>
    </w:tbl>
    <w:p w:rsidR="00C02B7A" w:rsidRPr="009D4EB7" w:rsidRDefault="00C02B7A" w:rsidP="009D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1807E7" w:rsidRDefault="001807E7" w:rsidP="003A6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A6BC4" w:rsidRPr="00E27F46" w:rsidRDefault="003A6BC4" w:rsidP="003A6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F46">
        <w:rPr>
          <w:rFonts w:ascii="Times New Roman" w:hAnsi="Times New Roman" w:cs="Times New Roman"/>
          <w:b/>
          <w:sz w:val="24"/>
          <w:szCs w:val="24"/>
        </w:rPr>
        <w:lastRenderedPageBreak/>
        <w:t>КОНТАКТНАЯ ИНФОРМАЦИЯ ДЛЯ НАПРАВЛЕНИЯ ОБРАЩЕНИИЙ:</w:t>
      </w:r>
      <w:r w:rsidRPr="00E27F4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A6BC4" w:rsidRPr="00E27F46" w:rsidRDefault="003A6BC4" w:rsidP="003A6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7F46">
        <w:rPr>
          <w:rFonts w:ascii="Times New Roman" w:hAnsi="Times New Roman" w:cs="Times New Roman"/>
        </w:rPr>
        <w:t>Номер телефонного центра обслуживания</w:t>
      </w:r>
      <w:r w:rsidR="00E24752" w:rsidRPr="00E27F46">
        <w:rPr>
          <w:rFonts w:ascii="Times New Roman" w:hAnsi="Times New Roman" w:cs="Times New Roman"/>
        </w:rPr>
        <w:t xml:space="preserve"> АО «КЭС КМР» 8 (34273) 4-68-78</w:t>
      </w:r>
    </w:p>
    <w:p w:rsidR="001807E7" w:rsidRPr="00E27F46" w:rsidRDefault="001807E7" w:rsidP="0018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7F46">
        <w:rPr>
          <w:rFonts w:ascii="Times New Roman" w:hAnsi="Times New Roman" w:cs="Times New Roman"/>
        </w:rPr>
        <w:t xml:space="preserve">Адрес электронной почты АО «КЭС КМР»: </w:t>
      </w:r>
      <w:proofErr w:type="spellStart"/>
      <w:r w:rsidRPr="00E27F46">
        <w:rPr>
          <w:rFonts w:ascii="Times New Roman" w:hAnsi="Times New Roman" w:cs="Times New Roman"/>
          <w:lang w:val="en-US"/>
        </w:rPr>
        <w:t>kkges</w:t>
      </w:r>
      <w:proofErr w:type="spellEnd"/>
      <w:r w:rsidRPr="00E27F46">
        <w:rPr>
          <w:rFonts w:ascii="Times New Roman" w:hAnsi="Times New Roman" w:cs="Times New Roman"/>
        </w:rPr>
        <w:t>@</w:t>
      </w:r>
      <w:r w:rsidRPr="00E27F46">
        <w:rPr>
          <w:rFonts w:ascii="Times New Roman" w:hAnsi="Times New Roman" w:cs="Times New Roman"/>
          <w:lang w:val="en-US"/>
        </w:rPr>
        <w:t>inbox</w:t>
      </w:r>
      <w:r w:rsidRPr="00E27F46">
        <w:rPr>
          <w:rFonts w:ascii="Times New Roman" w:hAnsi="Times New Roman" w:cs="Times New Roman"/>
        </w:rPr>
        <w:t>.</w:t>
      </w:r>
      <w:proofErr w:type="spellStart"/>
      <w:r w:rsidRPr="00E27F46">
        <w:rPr>
          <w:rFonts w:ascii="Times New Roman" w:hAnsi="Times New Roman" w:cs="Times New Roman"/>
        </w:rPr>
        <w:t>ru</w:t>
      </w:r>
      <w:proofErr w:type="spellEnd"/>
    </w:p>
    <w:p w:rsidR="003A6BC4" w:rsidRPr="00820273" w:rsidRDefault="003A6BC4" w:rsidP="003A6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3A6BC4" w:rsidRPr="00820273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D92" w:rsidRDefault="000B1D92" w:rsidP="00DC7CA8">
      <w:pPr>
        <w:spacing w:after="0" w:line="240" w:lineRule="auto"/>
      </w:pPr>
      <w:r>
        <w:separator/>
      </w:r>
    </w:p>
  </w:endnote>
  <w:endnote w:type="continuationSeparator" w:id="0">
    <w:p w:rsidR="000B1D92" w:rsidRDefault="000B1D92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D92" w:rsidRDefault="000B1D92" w:rsidP="00DC7CA8">
      <w:pPr>
        <w:spacing w:after="0" w:line="240" w:lineRule="auto"/>
      </w:pPr>
      <w:r>
        <w:separator/>
      </w:r>
    </w:p>
  </w:footnote>
  <w:footnote w:type="continuationSeparator" w:id="0">
    <w:p w:rsidR="000B1D92" w:rsidRDefault="000B1D92" w:rsidP="00DC7CA8">
      <w:pPr>
        <w:spacing w:after="0" w:line="240" w:lineRule="auto"/>
      </w:pPr>
      <w:r>
        <w:continuationSeparator/>
      </w:r>
    </w:p>
  </w:footnote>
  <w:footnote w:id="1">
    <w:p w:rsidR="004D2FC8" w:rsidRPr="009D4EB7" w:rsidRDefault="004D2FC8" w:rsidP="004D2FC8">
      <w:pPr>
        <w:pStyle w:val="ac"/>
        <w:jc w:val="both"/>
        <w:rPr>
          <w:sz w:val="22"/>
          <w:szCs w:val="22"/>
        </w:rPr>
      </w:pPr>
      <w:r>
        <w:rPr>
          <w:rStyle w:val="ae"/>
        </w:rPr>
        <w:footnoteRef/>
      </w:r>
      <w:r>
        <w:t xml:space="preserve"> </w:t>
      </w:r>
      <w:r w:rsidRPr="009D4EB7">
        <w:rPr>
          <w:rFonts w:ascii="Times New Roman" w:eastAsia="Times New Roman" w:hAnsi="Times New Roman" w:cs="Times New Roman"/>
          <w:sz w:val="22"/>
          <w:szCs w:val="22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  <w:footnote w:id="2">
    <w:p w:rsidR="004D2FC8" w:rsidRDefault="004D2FC8" w:rsidP="004D2FC8">
      <w:pPr>
        <w:autoSpaceDE w:val="0"/>
        <w:autoSpaceDN w:val="0"/>
        <w:adjustRightInd w:val="0"/>
        <w:spacing w:after="0" w:line="240" w:lineRule="auto"/>
        <w:jc w:val="both"/>
      </w:pPr>
      <w:r w:rsidRPr="009D4EB7">
        <w:rPr>
          <w:rStyle w:val="ae"/>
        </w:rPr>
        <w:footnoteRef/>
      </w:r>
      <w:r w:rsidRPr="009D4EB7">
        <w:t xml:space="preserve"> </w:t>
      </w:r>
      <w:r w:rsidRPr="009D4EB7">
        <w:rPr>
          <w:rFonts w:ascii="Times New Roman" w:eastAsia="Times New Roman" w:hAnsi="Times New Roman" w:cs="Times New Roman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9D4EB7">
        <w:rPr>
          <w:rFonts w:ascii="Times New Roman" w:hAnsi="Times New Roman" w:cs="Times New Roman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22F24"/>
    <w:rsid w:val="0002598C"/>
    <w:rsid w:val="00026177"/>
    <w:rsid w:val="000653F9"/>
    <w:rsid w:val="000B1D92"/>
    <w:rsid w:val="000D0D64"/>
    <w:rsid w:val="001173AA"/>
    <w:rsid w:val="00137CBA"/>
    <w:rsid w:val="001452AF"/>
    <w:rsid w:val="00166D9F"/>
    <w:rsid w:val="001807E7"/>
    <w:rsid w:val="00182892"/>
    <w:rsid w:val="00187BF5"/>
    <w:rsid w:val="0019014D"/>
    <w:rsid w:val="001D45A0"/>
    <w:rsid w:val="0022778E"/>
    <w:rsid w:val="00231805"/>
    <w:rsid w:val="00233155"/>
    <w:rsid w:val="00242530"/>
    <w:rsid w:val="00251BEC"/>
    <w:rsid w:val="00253255"/>
    <w:rsid w:val="002963F2"/>
    <w:rsid w:val="002978AF"/>
    <w:rsid w:val="002A3BA1"/>
    <w:rsid w:val="002C24EC"/>
    <w:rsid w:val="0032200A"/>
    <w:rsid w:val="0032230E"/>
    <w:rsid w:val="00326913"/>
    <w:rsid w:val="00347A15"/>
    <w:rsid w:val="003A6292"/>
    <w:rsid w:val="003A6BC4"/>
    <w:rsid w:val="003B555E"/>
    <w:rsid w:val="003C556E"/>
    <w:rsid w:val="003D4D3D"/>
    <w:rsid w:val="003F39CA"/>
    <w:rsid w:val="003F5301"/>
    <w:rsid w:val="00401788"/>
    <w:rsid w:val="00405B1D"/>
    <w:rsid w:val="00420452"/>
    <w:rsid w:val="00442712"/>
    <w:rsid w:val="00443775"/>
    <w:rsid w:val="00486E10"/>
    <w:rsid w:val="004A4D60"/>
    <w:rsid w:val="004B23E3"/>
    <w:rsid w:val="004D2FC8"/>
    <w:rsid w:val="0051352D"/>
    <w:rsid w:val="00534E9A"/>
    <w:rsid w:val="00557796"/>
    <w:rsid w:val="00584BD8"/>
    <w:rsid w:val="005A25B1"/>
    <w:rsid w:val="005B627E"/>
    <w:rsid w:val="005C22A7"/>
    <w:rsid w:val="00620C3D"/>
    <w:rsid w:val="00640439"/>
    <w:rsid w:val="0065173C"/>
    <w:rsid w:val="00666E7C"/>
    <w:rsid w:val="00675DBB"/>
    <w:rsid w:val="00677F5A"/>
    <w:rsid w:val="00690D12"/>
    <w:rsid w:val="006A3ACA"/>
    <w:rsid w:val="006D2EDE"/>
    <w:rsid w:val="006D4EEE"/>
    <w:rsid w:val="006F2514"/>
    <w:rsid w:val="006F446F"/>
    <w:rsid w:val="00762B2B"/>
    <w:rsid w:val="00776C32"/>
    <w:rsid w:val="0078335E"/>
    <w:rsid w:val="007919F1"/>
    <w:rsid w:val="007A2C8F"/>
    <w:rsid w:val="007E41FA"/>
    <w:rsid w:val="008117CC"/>
    <w:rsid w:val="00820273"/>
    <w:rsid w:val="00823FF3"/>
    <w:rsid w:val="00824E68"/>
    <w:rsid w:val="008254DA"/>
    <w:rsid w:val="0082713E"/>
    <w:rsid w:val="008A3691"/>
    <w:rsid w:val="008C2E25"/>
    <w:rsid w:val="008E16CB"/>
    <w:rsid w:val="009001F4"/>
    <w:rsid w:val="00904E58"/>
    <w:rsid w:val="00991B4C"/>
    <w:rsid w:val="009D4EB7"/>
    <w:rsid w:val="009D7322"/>
    <w:rsid w:val="009F4A9F"/>
    <w:rsid w:val="00A22C5F"/>
    <w:rsid w:val="00A44E14"/>
    <w:rsid w:val="00A474DD"/>
    <w:rsid w:val="00A705D8"/>
    <w:rsid w:val="00AF67C0"/>
    <w:rsid w:val="00B118E9"/>
    <w:rsid w:val="00B8308D"/>
    <w:rsid w:val="00B84849"/>
    <w:rsid w:val="00BA531D"/>
    <w:rsid w:val="00BB7AE2"/>
    <w:rsid w:val="00BD087E"/>
    <w:rsid w:val="00C02B7A"/>
    <w:rsid w:val="00C05A4F"/>
    <w:rsid w:val="00C20511"/>
    <w:rsid w:val="00C2064F"/>
    <w:rsid w:val="00C25F4B"/>
    <w:rsid w:val="00C379FF"/>
    <w:rsid w:val="00C514F8"/>
    <w:rsid w:val="00C74D96"/>
    <w:rsid w:val="00CC1A0A"/>
    <w:rsid w:val="00CC211B"/>
    <w:rsid w:val="00CF1785"/>
    <w:rsid w:val="00D34055"/>
    <w:rsid w:val="00D47D80"/>
    <w:rsid w:val="00D502E1"/>
    <w:rsid w:val="00D679FC"/>
    <w:rsid w:val="00DC7CA8"/>
    <w:rsid w:val="00E01206"/>
    <w:rsid w:val="00E24752"/>
    <w:rsid w:val="00E27F46"/>
    <w:rsid w:val="00E357D5"/>
    <w:rsid w:val="00E36F56"/>
    <w:rsid w:val="00E5056E"/>
    <w:rsid w:val="00E53D9B"/>
    <w:rsid w:val="00E557B2"/>
    <w:rsid w:val="00E7277D"/>
    <w:rsid w:val="00EA53BE"/>
    <w:rsid w:val="00EE2C63"/>
    <w:rsid w:val="00F4184B"/>
    <w:rsid w:val="00F87578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7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C3E262118F82F2790178C320FEF314B3DE2040F5D67989067FE657ABDA0242003A6B5DF9B9D8yD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BDF68-440C-4877-B0C2-3EDACA22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admin</cp:lastModifiedBy>
  <cp:revision>9</cp:revision>
  <cp:lastPrinted>2014-08-01T10:40:00Z</cp:lastPrinted>
  <dcterms:created xsi:type="dcterms:W3CDTF">2017-12-25T11:04:00Z</dcterms:created>
  <dcterms:modified xsi:type="dcterms:W3CDTF">2019-03-27T08:25:00Z</dcterms:modified>
</cp:coreProperties>
</file>