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79"/>
        <w:tblW w:w="109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4"/>
        <w:gridCol w:w="3873"/>
        <w:gridCol w:w="2049"/>
        <w:gridCol w:w="2663"/>
      </w:tblGrid>
      <w:tr w:rsidR="00B70E89" w:rsidRPr="00B70E89" w:rsidTr="00B70E89">
        <w:trPr>
          <w:trHeight w:val="3650"/>
          <w:tblHeader/>
          <w:tblCellSpacing w:w="0" w:type="dxa"/>
        </w:trPr>
        <w:tc>
          <w:tcPr>
            <w:tcW w:w="2354" w:type="dxa"/>
            <w:tcBorders>
              <w:top w:val="single" w:sz="6" w:space="0" w:color="004E96"/>
              <w:left w:val="single" w:sz="6" w:space="0" w:color="004E96"/>
              <w:bottom w:val="single" w:sz="6" w:space="0" w:color="86A8C7"/>
              <w:right w:val="single" w:sz="6" w:space="0" w:color="EEEEEE"/>
            </w:tcBorders>
            <w:shd w:val="clear" w:color="auto" w:fill="D6E3BC" w:themeFill="accent3" w:themeFillTint="66"/>
            <w:tcMar>
              <w:top w:w="165" w:type="dxa"/>
              <w:left w:w="225" w:type="dxa"/>
              <w:bottom w:w="150" w:type="dxa"/>
              <w:right w:w="225" w:type="dxa"/>
            </w:tcMar>
            <w:hideMark/>
          </w:tcPr>
          <w:p w:rsidR="00B70E89" w:rsidRPr="00B70E89" w:rsidRDefault="00B70E89" w:rsidP="00B70E89">
            <w:pPr>
              <w:suppressAutoHyphens w:val="0"/>
              <w:spacing w:after="100" w:afterAutospacing="1" w:line="300" w:lineRule="atLeast"/>
              <w:jc w:val="center"/>
              <w:rPr>
                <w:rFonts w:ascii="Tahoma" w:hAnsi="Tahoma" w:cs="Tahoma"/>
                <w:b/>
                <w:bCs/>
                <w:lang w:eastAsia="ru-RU"/>
              </w:rPr>
            </w:pPr>
            <w:r w:rsidRPr="00B70E89">
              <w:rPr>
                <w:rFonts w:ascii="Tahoma" w:hAnsi="Tahoma" w:cs="Tahoma"/>
                <w:b/>
                <w:bCs/>
                <w:lang w:eastAsia="ru-RU"/>
              </w:rPr>
              <w:t>Наименование ТСО</w:t>
            </w:r>
          </w:p>
        </w:tc>
        <w:tc>
          <w:tcPr>
            <w:tcW w:w="3873" w:type="dxa"/>
            <w:tcBorders>
              <w:top w:val="single" w:sz="6" w:space="0" w:color="004E96"/>
              <w:left w:val="single" w:sz="6" w:space="0" w:color="004E96"/>
              <w:bottom w:val="single" w:sz="6" w:space="0" w:color="86A8C7"/>
              <w:right w:val="single" w:sz="6" w:space="0" w:color="EEEEEE"/>
            </w:tcBorders>
            <w:shd w:val="clear" w:color="auto" w:fill="D6E3BC" w:themeFill="accent3" w:themeFillTint="66"/>
            <w:tcMar>
              <w:top w:w="165" w:type="dxa"/>
              <w:left w:w="225" w:type="dxa"/>
              <w:bottom w:w="150" w:type="dxa"/>
              <w:right w:w="225" w:type="dxa"/>
            </w:tcMar>
            <w:hideMark/>
          </w:tcPr>
          <w:p w:rsidR="00B70E89" w:rsidRPr="00B70E89" w:rsidRDefault="00B70E89" w:rsidP="00B70E89">
            <w:pPr>
              <w:suppressAutoHyphens w:val="0"/>
              <w:spacing w:afterAutospacing="1" w:line="300" w:lineRule="atLeast"/>
              <w:jc w:val="center"/>
              <w:rPr>
                <w:rFonts w:ascii="Tahoma" w:hAnsi="Tahoma" w:cs="Tahoma"/>
                <w:b/>
                <w:bCs/>
                <w:lang w:eastAsia="ru-RU"/>
              </w:rPr>
            </w:pPr>
            <w:r w:rsidRPr="00B70E89">
              <w:rPr>
                <w:rFonts w:ascii="Tahoma" w:hAnsi="Tahoma" w:cs="Tahoma"/>
                <w:b/>
                <w:bCs/>
                <w:lang w:eastAsia="ru-RU"/>
              </w:rPr>
              <w:t>Размер расходов связанных с осуществлением технологического присоединения,</w:t>
            </w:r>
            <w:r w:rsidRPr="00B70E89">
              <w:rPr>
                <w:rFonts w:ascii="Tahoma" w:hAnsi="Tahoma" w:cs="Tahoma"/>
                <w:b/>
                <w:bCs/>
                <w:lang w:eastAsia="ru-RU"/>
              </w:rPr>
              <w:br/>
              <w:t>не включаемых в плату за технологическое присоединение</w:t>
            </w:r>
            <w:r w:rsidRPr="00B70E89">
              <w:rPr>
                <w:rFonts w:ascii="Tahoma" w:hAnsi="Tahoma" w:cs="Tahoma"/>
                <w:b/>
                <w:bCs/>
                <w:lang w:eastAsia="ru-RU"/>
              </w:rPr>
              <w:br/>
              <w:t>(и подлежащих учету (учтенных) в тарифах на услуги по передаче электрической энергии),</w:t>
            </w:r>
            <w:r w:rsidRPr="00B70E89">
              <w:rPr>
                <w:rFonts w:ascii="Tahoma" w:hAnsi="Tahoma" w:cs="Tahoma"/>
                <w:b/>
                <w:bCs/>
                <w:lang w:eastAsia="ru-RU"/>
              </w:rPr>
              <w:br/>
              <w:t>(тыс. руб. без НДС)</w:t>
            </w:r>
          </w:p>
        </w:tc>
        <w:tc>
          <w:tcPr>
            <w:tcW w:w="2049" w:type="dxa"/>
            <w:tcBorders>
              <w:top w:val="single" w:sz="6" w:space="0" w:color="004E96"/>
              <w:left w:val="single" w:sz="6" w:space="0" w:color="004E96"/>
              <w:bottom w:val="single" w:sz="6" w:space="0" w:color="86A8C7"/>
              <w:right w:val="single" w:sz="6" w:space="0" w:color="EEEEEE"/>
            </w:tcBorders>
            <w:shd w:val="clear" w:color="auto" w:fill="D6E3BC" w:themeFill="accent3" w:themeFillTint="66"/>
            <w:tcMar>
              <w:top w:w="165" w:type="dxa"/>
              <w:left w:w="225" w:type="dxa"/>
              <w:bottom w:w="150" w:type="dxa"/>
              <w:right w:w="225" w:type="dxa"/>
            </w:tcMar>
            <w:hideMark/>
          </w:tcPr>
          <w:p w:rsidR="00B70E89" w:rsidRPr="00B70E89" w:rsidRDefault="00B70E89" w:rsidP="00B70E89">
            <w:pPr>
              <w:suppressAutoHyphens w:val="0"/>
              <w:spacing w:afterAutospacing="1" w:line="300" w:lineRule="atLeast"/>
              <w:jc w:val="center"/>
              <w:rPr>
                <w:rFonts w:ascii="Tahoma" w:hAnsi="Tahoma" w:cs="Tahoma"/>
                <w:b/>
                <w:bCs/>
                <w:lang w:eastAsia="ru-RU"/>
              </w:rPr>
            </w:pPr>
            <w:r w:rsidRPr="00B70E89">
              <w:rPr>
                <w:rFonts w:ascii="Tahoma" w:hAnsi="Tahoma" w:cs="Tahoma"/>
                <w:b/>
                <w:bCs/>
                <w:lang w:eastAsia="ru-RU"/>
              </w:rPr>
              <w:t>Название документа</w:t>
            </w:r>
          </w:p>
        </w:tc>
        <w:tc>
          <w:tcPr>
            <w:tcW w:w="2663" w:type="dxa"/>
            <w:tcBorders>
              <w:top w:val="single" w:sz="6" w:space="0" w:color="004E96"/>
              <w:left w:val="single" w:sz="6" w:space="0" w:color="004E96"/>
              <w:bottom w:val="single" w:sz="6" w:space="0" w:color="86A8C7"/>
              <w:right w:val="single" w:sz="6" w:space="0" w:color="004E96"/>
            </w:tcBorders>
            <w:shd w:val="clear" w:color="auto" w:fill="D6E3BC" w:themeFill="accent3" w:themeFillTint="66"/>
            <w:tcMar>
              <w:top w:w="165" w:type="dxa"/>
              <w:left w:w="225" w:type="dxa"/>
              <w:bottom w:w="150" w:type="dxa"/>
              <w:right w:w="225" w:type="dxa"/>
            </w:tcMar>
            <w:hideMark/>
          </w:tcPr>
          <w:p w:rsidR="00B70E89" w:rsidRPr="00B70E89" w:rsidRDefault="00B70E89" w:rsidP="00B70E89">
            <w:pPr>
              <w:suppressAutoHyphens w:val="0"/>
              <w:spacing w:afterAutospacing="1" w:line="300" w:lineRule="atLeast"/>
              <w:jc w:val="center"/>
              <w:rPr>
                <w:rFonts w:ascii="Tahoma" w:hAnsi="Tahoma" w:cs="Tahoma"/>
                <w:b/>
                <w:bCs/>
                <w:lang w:eastAsia="ru-RU"/>
              </w:rPr>
            </w:pPr>
            <w:r w:rsidRPr="00B70E89">
              <w:rPr>
                <w:rFonts w:ascii="Tahoma" w:hAnsi="Tahoma" w:cs="Tahoma"/>
                <w:b/>
                <w:bCs/>
                <w:lang w:eastAsia="ru-RU"/>
              </w:rPr>
              <w:t>Источник публикации</w:t>
            </w:r>
          </w:p>
        </w:tc>
      </w:tr>
      <w:tr w:rsidR="00B70E89" w:rsidRPr="00B70E89" w:rsidTr="00B70E89">
        <w:trPr>
          <w:trHeight w:val="949"/>
          <w:tblCellSpacing w:w="0" w:type="dxa"/>
        </w:trPr>
        <w:tc>
          <w:tcPr>
            <w:tcW w:w="2354" w:type="dxa"/>
            <w:tcBorders>
              <w:top w:val="single" w:sz="6" w:space="0" w:color="86A8C7"/>
              <w:left w:val="single" w:sz="6" w:space="0" w:color="86A8C7"/>
              <w:bottom w:val="single" w:sz="6" w:space="0" w:color="86A8C7"/>
              <w:right w:val="single" w:sz="6" w:space="0" w:color="86A8C7"/>
            </w:tcBorders>
            <w:shd w:val="clear" w:color="auto" w:fill="E7EDF2"/>
            <w:tcMar>
              <w:top w:w="150" w:type="dxa"/>
              <w:left w:w="120" w:type="dxa"/>
              <w:bottom w:w="210" w:type="dxa"/>
              <w:right w:w="120" w:type="dxa"/>
            </w:tcMar>
            <w:hideMark/>
          </w:tcPr>
          <w:p w:rsidR="00B70E89" w:rsidRPr="00B70E89" w:rsidRDefault="00B70E89" w:rsidP="00B70E89">
            <w:pPr>
              <w:suppressAutoHyphens w:val="0"/>
              <w:spacing w:line="270" w:lineRule="atLeast"/>
              <w:jc w:val="center"/>
              <w:rPr>
                <w:rFonts w:ascii="Tahoma" w:hAnsi="Tahoma" w:cs="Tahoma"/>
                <w:color w:val="333232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333232"/>
                <w:sz w:val="21"/>
                <w:szCs w:val="21"/>
                <w:lang w:eastAsia="ru-RU"/>
              </w:rPr>
              <w:t>АО «КЭС КМР»</w:t>
            </w:r>
          </w:p>
        </w:tc>
        <w:tc>
          <w:tcPr>
            <w:tcW w:w="3873" w:type="dxa"/>
            <w:tcBorders>
              <w:top w:val="single" w:sz="6" w:space="0" w:color="86A8C7"/>
              <w:left w:val="single" w:sz="6" w:space="0" w:color="86A8C7"/>
              <w:bottom w:val="single" w:sz="6" w:space="0" w:color="86A8C7"/>
              <w:right w:val="single" w:sz="6" w:space="0" w:color="86A8C7"/>
            </w:tcBorders>
            <w:shd w:val="clear" w:color="auto" w:fill="E7EDF2"/>
            <w:tcMar>
              <w:top w:w="150" w:type="dxa"/>
              <w:left w:w="120" w:type="dxa"/>
              <w:bottom w:w="210" w:type="dxa"/>
              <w:right w:w="120" w:type="dxa"/>
            </w:tcMar>
            <w:hideMark/>
          </w:tcPr>
          <w:p w:rsidR="00B70E89" w:rsidRPr="00B70E89" w:rsidRDefault="00B70E89" w:rsidP="00B70E89">
            <w:pPr>
              <w:suppressAutoHyphens w:val="0"/>
              <w:spacing w:line="270" w:lineRule="atLeast"/>
              <w:jc w:val="center"/>
              <w:rPr>
                <w:rFonts w:ascii="Tahoma" w:hAnsi="Tahoma" w:cs="Tahoma"/>
                <w:color w:val="333232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333232"/>
                <w:sz w:val="21"/>
                <w:szCs w:val="21"/>
                <w:lang w:eastAsia="ru-RU"/>
              </w:rPr>
              <w:t>5 306,64</w:t>
            </w:r>
          </w:p>
        </w:tc>
        <w:tc>
          <w:tcPr>
            <w:tcW w:w="2049" w:type="dxa"/>
            <w:tcBorders>
              <w:top w:val="single" w:sz="6" w:space="0" w:color="86A8C7"/>
              <w:left w:val="single" w:sz="6" w:space="0" w:color="86A8C7"/>
              <w:bottom w:val="single" w:sz="6" w:space="0" w:color="86A8C7"/>
              <w:right w:val="single" w:sz="6" w:space="0" w:color="86A8C7"/>
            </w:tcBorders>
            <w:shd w:val="clear" w:color="auto" w:fill="E7EDF2"/>
            <w:tcMar>
              <w:top w:w="150" w:type="dxa"/>
              <w:left w:w="120" w:type="dxa"/>
              <w:bottom w:w="210" w:type="dxa"/>
              <w:right w:w="120" w:type="dxa"/>
            </w:tcMar>
            <w:hideMark/>
          </w:tcPr>
          <w:p w:rsidR="00B70E89" w:rsidRPr="00B70E89" w:rsidRDefault="00C65501" w:rsidP="00B70E89">
            <w:pPr>
              <w:suppressAutoHyphens w:val="0"/>
              <w:spacing w:line="270" w:lineRule="atLeast"/>
              <w:jc w:val="center"/>
              <w:rPr>
                <w:rFonts w:ascii="Tahoma" w:hAnsi="Tahoma" w:cs="Tahoma"/>
                <w:color w:val="333232"/>
                <w:sz w:val="21"/>
                <w:szCs w:val="21"/>
                <w:lang w:eastAsia="ru-RU"/>
              </w:rPr>
            </w:pPr>
            <w:hyperlink r:id="rId4" w:history="1">
              <w:r w:rsidR="00B70E89" w:rsidRPr="00B70E89">
                <w:rPr>
                  <w:rFonts w:ascii="Tahoma" w:hAnsi="Tahoma" w:cs="Tahoma"/>
                  <w:color w:val="004485"/>
                  <w:sz w:val="21"/>
                  <w:szCs w:val="21"/>
                  <w:lang w:eastAsia="ru-RU"/>
                </w:rPr>
                <w:t xml:space="preserve">Постановление от 28.12.2018 </w:t>
              </w:r>
              <w:r w:rsidR="00741C3B">
                <w:rPr>
                  <w:rFonts w:ascii="Tahoma" w:hAnsi="Tahoma" w:cs="Tahoma"/>
                  <w:color w:val="004485"/>
                  <w:sz w:val="21"/>
                  <w:szCs w:val="21"/>
                  <w:lang w:eastAsia="ru-RU"/>
                </w:rPr>
                <w:t xml:space="preserve">        </w:t>
              </w:r>
              <w:r w:rsidR="00B70E89" w:rsidRPr="00B70E89">
                <w:rPr>
                  <w:rFonts w:ascii="Tahoma" w:hAnsi="Tahoma" w:cs="Tahoma"/>
                  <w:color w:val="004485"/>
                  <w:sz w:val="21"/>
                  <w:szCs w:val="21"/>
                  <w:lang w:eastAsia="ru-RU"/>
                </w:rPr>
                <w:t>№ 171-тп</w:t>
              </w:r>
            </w:hyperlink>
          </w:p>
        </w:tc>
        <w:tc>
          <w:tcPr>
            <w:tcW w:w="2663" w:type="dxa"/>
            <w:tcBorders>
              <w:top w:val="single" w:sz="6" w:space="0" w:color="86A8C7"/>
              <w:left w:val="single" w:sz="6" w:space="0" w:color="86A8C7"/>
              <w:bottom w:val="single" w:sz="6" w:space="0" w:color="86A8C7"/>
              <w:right w:val="single" w:sz="6" w:space="0" w:color="86A8C7"/>
            </w:tcBorders>
            <w:shd w:val="clear" w:color="auto" w:fill="E7EDF2"/>
            <w:tcMar>
              <w:top w:w="150" w:type="dxa"/>
              <w:left w:w="120" w:type="dxa"/>
              <w:bottom w:w="210" w:type="dxa"/>
              <w:right w:w="120" w:type="dxa"/>
            </w:tcMar>
            <w:hideMark/>
          </w:tcPr>
          <w:p w:rsidR="00B70E89" w:rsidRPr="00B70E89" w:rsidRDefault="00C65501" w:rsidP="00B70E89">
            <w:pPr>
              <w:suppressAutoHyphens w:val="0"/>
              <w:spacing w:line="270" w:lineRule="atLeast"/>
              <w:jc w:val="center"/>
              <w:rPr>
                <w:rFonts w:ascii="Tahoma" w:hAnsi="Tahoma" w:cs="Tahoma"/>
                <w:color w:val="333232"/>
                <w:sz w:val="21"/>
                <w:szCs w:val="21"/>
                <w:lang w:eastAsia="ru-RU"/>
              </w:rPr>
            </w:pPr>
            <w:hyperlink r:id="rId5" w:history="1">
              <w:r w:rsidR="00B70E89" w:rsidRPr="00B70E89">
                <w:rPr>
                  <w:rFonts w:ascii="Tahoma" w:hAnsi="Tahoma" w:cs="Tahoma"/>
                  <w:color w:val="004485"/>
                  <w:sz w:val="21"/>
                  <w:szCs w:val="21"/>
                  <w:u w:val="single"/>
                  <w:lang w:eastAsia="ru-RU"/>
                </w:rPr>
                <w:t xml:space="preserve">Сайт </w:t>
              </w:r>
              <w:r w:rsidR="00741C3B">
                <w:rPr>
                  <w:rFonts w:ascii="Tahoma" w:hAnsi="Tahoma" w:cs="Tahoma"/>
                  <w:color w:val="004485"/>
                  <w:sz w:val="21"/>
                  <w:szCs w:val="21"/>
                  <w:u w:val="single"/>
                  <w:lang w:eastAsia="ru-RU"/>
                </w:rPr>
                <w:t>Министерства тарифного регулирования и энергетики</w:t>
              </w:r>
              <w:r w:rsidR="00B70E89" w:rsidRPr="00B70E89">
                <w:rPr>
                  <w:rFonts w:ascii="Tahoma" w:hAnsi="Tahoma" w:cs="Tahoma"/>
                  <w:color w:val="004485"/>
                  <w:sz w:val="21"/>
                  <w:szCs w:val="21"/>
                  <w:u w:val="single"/>
                  <w:lang w:eastAsia="ru-RU"/>
                </w:rPr>
                <w:t xml:space="preserve"> Пермского края</w:t>
              </w:r>
            </w:hyperlink>
          </w:p>
        </w:tc>
      </w:tr>
    </w:tbl>
    <w:p w:rsidR="00B70E89" w:rsidRDefault="00741C3B">
      <w:pPr>
        <w:rPr>
          <w:b/>
          <w:sz w:val="24"/>
          <w:szCs w:val="24"/>
        </w:rPr>
      </w:pPr>
      <w:r>
        <w:rPr>
          <w:b/>
          <w:sz w:val="24"/>
          <w:szCs w:val="24"/>
        </w:rPr>
        <w:t>19б</w:t>
      </w:r>
      <w:r w:rsidR="00B70E89" w:rsidRPr="00B70E89">
        <w:rPr>
          <w:b/>
          <w:sz w:val="24"/>
          <w:szCs w:val="24"/>
        </w:rPr>
        <w:t xml:space="preserve">- о расходах, связанных с осуществлением технологического присоединения, </w:t>
      </w:r>
    </w:p>
    <w:p w:rsidR="00413CCC" w:rsidRPr="00B70E89" w:rsidRDefault="00B70E89">
      <w:pPr>
        <w:rPr>
          <w:sz w:val="24"/>
          <w:szCs w:val="24"/>
        </w:rPr>
      </w:pPr>
      <w:r w:rsidRPr="00B70E89">
        <w:rPr>
          <w:b/>
          <w:sz w:val="24"/>
          <w:szCs w:val="24"/>
        </w:rPr>
        <w:t>не включаемых в плату за технологическое присоединение (и подлежащих учету (учтенных) в тарифах на услуги попередаче электрической энергии)</w:t>
      </w:r>
      <w:bookmarkStart w:id="0" w:name="_GoBack"/>
      <w:bookmarkEnd w:id="0"/>
    </w:p>
    <w:sectPr w:rsidR="00413CCC" w:rsidRPr="00B70E89" w:rsidSect="00B7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70E89"/>
    <w:rsid w:val="001426AA"/>
    <w:rsid w:val="00413CCC"/>
    <w:rsid w:val="00741C3B"/>
    <w:rsid w:val="00B70E89"/>
    <w:rsid w:val="00C6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st.permkrai.ru/resheniya-rst/resheniya-rst/section/2022/year/0/month/0/" TargetMode="External"/><Relationship Id="rId4" Type="http://schemas.openxmlformats.org/officeDocument/2006/relationships/hyperlink" Target="https://www.mrsk-ural.ru/public/upload/content/files/2019/TP_Docs/PK_p_171_28_12_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Носков</cp:lastModifiedBy>
  <cp:revision>2</cp:revision>
  <dcterms:created xsi:type="dcterms:W3CDTF">2019-01-14T11:27:00Z</dcterms:created>
  <dcterms:modified xsi:type="dcterms:W3CDTF">2019-03-31T10:21:00Z</dcterms:modified>
</cp:coreProperties>
</file>