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38" w:rsidRDefault="00D7653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6538" w:rsidRDefault="00D76538">
      <w:pPr>
        <w:pStyle w:val="ConsPlusNormal"/>
        <w:jc w:val="both"/>
        <w:outlineLvl w:val="0"/>
      </w:pPr>
    </w:p>
    <w:p w:rsidR="00D76538" w:rsidRDefault="00D76538">
      <w:pPr>
        <w:pStyle w:val="ConsPlusTitle"/>
        <w:jc w:val="center"/>
      </w:pPr>
      <w:r>
        <w:t>МИНИСТЕРСТВО ТАРИФНОГО РЕГУЛИРОВАНИЯ И ЭНЕРГЕТИКИ</w:t>
      </w:r>
    </w:p>
    <w:p w:rsidR="00D76538" w:rsidRDefault="00D76538">
      <w:pPr>
        <w:pStyle w:val="ConsPlusTitle"/>
        <w:jc w:val="center"/>
      </w:pPr>
      <w:r>
        <w:t>ПЕРМСКОГО КРАЯ</w:t>
      </w:r>
    </w:p>
    <w:p w:rsidR="00D76538" w:rsidRDefault="00D76538">
      <w:pPr>
        <w:pStyle w:val="ConsPlusTitle"/>
        <w:jc w:val="both"/>
      </w:pPr>
    </w:p>
    <w:p w:rsidR="00D76538" w:rsidRDefault="00D76538">
      <w:pPr>
        <w:pStyle w:val="ConsPlusTitle"/>
        <w:jc w:val="center"/>
      </w:pPr>
      <w:r>
        <w:t>ПОСТАНОВЛЕНИЕ</w:t>
      </w:r>
    </w:p>
    <w:p w:rsidR="00D76538" w:rsidRDefault="00D76538">
      <w:pPr>
        <w:pStyle w:val="ConsPlusTitle"/>
        <w:jc w:val="center"/>
      </w:pPr>
      <w:r>
        <w:t>от 2 августа 2023 г. N 60-тп</w:t>
      </w:r>
    </w:p>
    <w:p w:rsidR="00D76538" w:rsidRDefault="00D76538">
      <w:pPr>
        <w:pStyle w:val="ConsPlusTitle"/>
        <w:jc w:val="both"/>
      </w:pPr>
    </w:p>
    <w:p w:rsidR="00D76538" w:rsidRDefault="00D76538">
      <w:pPr>
        <w:pStyle w:val="ConsPlusTitle"/>
        <w:jc w:val="center"/>
      </w:pPr>
      <w:r>
        <w:t>О ВНЕСЕНИИ ИЗМЕНЕНИЙ В ПОСТАНОВЛЕНИЕ МИНИСТЕРСТВА ТАРИФНОГО</w:t>
      </w:r>
    </w:p>
    <w:p w:rsidR="00D76538" w:rsidRDefault="00D76538">
      <w:pPr>
        <w:pStyle w:val="ConsPlusTitle"/>
        <w:jc w:val="center"/>
      </w:pPr>
      <w:r>
        <w:t>РЕГУЛИРОВАНИЯ И ЭНЕРГЕТИКИ ПЕРМСКОГО КРАЯ ОТ 29.11.2022</w:t>
      </w:r>
    </w:p>
    <w:p w:rsidR="00D76538" w:rsidRDefault="00D76538">
      <w:pPr>
        <w:pStyle w:val="ConsPlusTitle"/>
        <w:jc w:val="center"/>
      </w:pPr>
      <w:r>
        <w:t>N 111-ТП "ОБ УСТАНОВЛЕНИИ ПЛАТЫ ЗА ТЕХНОЛОГИЧЕСКОЕ</w:t>
      </w:r>
    </w:p>
    <w:p w:rsidR="00D76538" w:rsidRDefault="00D76538">
      <w:pPr>
        <w:pStyle w:val="ConsPlusTitle"/>
        <w:jc w:val="center"/>
      </w:pPr>
      <w:r>
        <w:t>ПРИСОЕДИНЕНИЕ К ЭЛЕКТРИЧЕСКИМ СЕТЯМ ТЕРРИТОРИАЛЬНЫХ</w:t>
      </w:r>
    </w:p>
    <w:p w:rsidR="00D76538" w:rsidRDefault="00D76538">
      <w:pPr>
        <w:pStyle w:val="ConsPlusTitle"/>
        <w:jc w:val="center"/>
      </w:pPr>
      <w:r>
        <w:t>СЕТЕВЫХ ОРГАНИЗАЦИЙ ПЕРМСКОГО КРАЯ НА 2023 ГОД"</w:t>
      </w:r>
    </w:p>
    <w:p w:rsidR="00D76538" w:rsidRDefault="00D76538">
      <w:pPr>
        <w:pStyle w:val="ConsPlusNormal"/>
        <w:jc w:val="both"/>
      </w:pPr>
    </w:p>
    <w:p w:rsidR="00D76538" w:rsidRDefault="00D765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30 июня 2022 N 490/22 "Об утверждении Методических указаний по определению размера платы за технологическое присоединение к электрическим сетям",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D76538" w:rsidRDefault="00D76538">
      <w:pPr>
        <w:pStyle w:val="ConsPlusNormal"/>
        <w:jc w:val="both"/>
      </w:pPr>
    </w:p>
    <w:p w:rsidR="00D76538" w:rsidRDefault="00D76538">
      <w:pPr>
        <w:pStyle w:val="ConsPlusNormal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29 ноября 2022 г. N 111-тп "Об установлении платы за технологическое присоединение к электрическим сетям территориальных сетевых организаций Пермского края на 2023 год" (в редакции постановления Министерства тарифного регулирования и энергетики Пермского края от 27 февраля 2023 г. N 9-тп, от 05 мая 2023 г. N 26-тп, от 20 июня 2023 N 38-тп) следующие изменения:</w:t>
      </w:r>
    </w:p>
    <w:p w:rsidR="00D76538" w:rsidRDefault="00D76538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приложение 1</w:t>
        </w:r>
      </w:hyperlink>
      <w:r>
        <w:t xml:space="preserve"> дополнить строками следующего содержания:</w:t>
      </w:r>
    </w:p>
    <w:p w:rsidR="00D76538" w:rsidRDefault="00D76538">
      <w:pPr>
        <w:pStyle w:val="ConsPlusNormal"/>
        <w:jc w:val="both"/>
      </w:pPr>
    </w:p>
    <w:p w:rsidR="00D76538" w:rsidRDefault="00D76538">
      <w:pPr>
        <w:pStyle w:val="ConsPlusNormal"/>
        <w:jc w:val="both"/>
      </w:pPr>
      <w:r>
        <w:t>"</w:t>
      </w:r>
    </w:p>
    <w:p w:rsidR="00D76538" w:rsidRDefault="00D765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4"/>
        <w:gridCol w:w="1474"/>
        <w:gridCol w:w="3912"/>
        <w:gridCol w:w="1249"/>
        <w:gridCol w:w="1084"/>
      </w:tblGrid>
      <w:tr w:rsidR="00D76538">
        <w:tc>
          <w:tcPr>
            <w:tcW w:w="1324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3912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без НДС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2.2.2.3.3.1.1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76517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r>
              <w:t xml:space="preserve">воздушные линии на металлических опорах, за исключением многогранных,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100 до 200 квадратных мм включительно </w:t>
            </w:r>
            <w:proofErr w:type="spellStart"/>
            <w:r>
              <w:t>одноцепные</w:t>
            </w:r>
            <w:proofErr w:type="spellEnd"/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рублей/км</w:t>
            </w:r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11459207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4.4.2.2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71805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r>
              <w:t xml:space="preserve">распределительные пункты (РП), за исключением комплектных </w:t>
            </w:r>
            <w:r>
              <w:lastRenderedPageBreak/>
              <w:t>распределительных устройств наружной установки (КРН, КРУН), номинальным током от 100 до 250 А включительно с количеством ячеек от 5 до 10 включительно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lastRenderedPageBreak/>
              <w:t>рублей/</w:t>
            </w: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10927669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lastRenderedPageBreak/>
              <w:t>4.4.2.3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71805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r>
              <w:t>распределительные пункты (РП), за исключением комплектных распределительных устройств наружной установки (КРН, КРУН), номинальным током от 100 до 250 А включительно с количеством ячеек от 10 до 15 включительно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19926675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4.4.3.2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71805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r>
              <w:t>распределительные пункты (РП), за исключением комплектных распределительных устройств наружной установки (КРН, КРУН), номинальным током от 250 до 500 А включительно с количеством ячеек от 5 до 10 включительно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10927669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4.4.3.3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71805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r>
              <w:t>распределительные пункты (РП), за исключением комплектных распределительных устройств наружной установки (КРН, КРУН), номинальным током от 250 до 500 А включительно с количеством ячеек от 10 до 15 включительно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19926675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4.5.4.1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71805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r>
              <w:t>комплектные распределительные устройства наружной установки (КРН, КРУН) номинальным током от 500 до 1000 А включительно с количеством ячеек до 5 включительно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шт</w:t>
            </w:r>
            <w:proofErr w:type="spellEnd"/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2344973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5.2.7.3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50292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1000 до 1250 </w:t>
            </w:r>
            <w:proofErr w:type="spellStart"/>
            <w:r>
              <w:t>кВА</w:t>
            </w:r>
            <w:proofErr w:type="spellEnd"/>
            <w:r>
              <w:t xml:space="preserve"> включительно блочного типа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13721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5.2.8.3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54483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1250 </w:t>
            </w:r>
            <w:proofErr w:type="spellStart"/>
            <w:r>
              <w:t>кВА</w:t>
            </w:r>
            <w:proofErr w:type="spellEnd"/>
            <w:r>
              <w:t xml:space="preserve"> до 1600 </w:t>
            </w:r>
            <w:proofErr w:type="spellStart"/>
            <w:r>
              <w:t>кВА</w:t>
            </w:r>
            <w:proofErr w:type="spellEnd"/>
            <w:r>
              <w:t xml:space="preserve"> включительно блочного типа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12605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7.1.7.2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71247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 мощностью от 40 МВА до 63 МВА включительно закрытого типа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9133</w:t>
            </w:r>
          </w:p>
        </w:tc>
      </w:tr>
      <w:tr w:rsidR="00D76538">
        <w:tc>
          <w:tcPr>
            <w:tcW w:w="1324" w:type="dxa"/>
          </w:tcPr>
          <w:p w:rsidR="00D76538" w:rsidRDefault="00D76538">
            <w:pPr>
              <w:pStyle w:val="ConsPlusNormal"/>
            </w:pPr>
            <w:r>
              <w:t>7.1.1.1</w:t>
            </w:r>
          </w:p>
        </w:tc>
        <w:tc>
          <w:tcPr>
            <w:tcW w:w="1474" w:type="dxa"/>
          </w:tcPr>
          <w:p w:rsidR="00D76538" w:rsidRDefault="00D7653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71247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6538" w:rsidRDefault="00D76538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 мощностью до 6,3 МВА включительно открытого типа</w:t>
            </w:r>
          </w:p>
        </w:tc>
        <w:tc>
          <w:tcPr>
            <w:tcW w:w="1249" w:type="dxa"/>
            <w:vAlign w:val="center"/>
          </w:tcPr>
          <w:p w:rsidR="00D76538" w:rsidRDefault="00D76538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084" w:type="dxa"/>
            <w:vAlign w:val="center"/>
          </w:tcPr>
          <w:p w:rsidR="00D76538" w:rsidRDefault="00D76538">
            <w:pPr>
              <w:pStyle w:val="ConsPlusNormal"/>
              <w:jc w:val="right"/>
            </w:pPr>
            <w:r>
              <w:t>15869</w:t>
            </w:r>
          </w:p>
        </w:tc>
      </w:tr>
    </w:tbl>
    <w:p w:rsidR="00D76538" w:rsidRDefault="00D76538">
      <w:pPr>
        <w:pStyle w:val="ConsPlusNormal"/>
        <w:jc w:val="right"/>
      </w:pPr>
      <w:r>
        <w:t>".</w:t>
      </w:r>
    </w:p>
    <w:p w:rsidR="00D76538" w:rsidRDefault="00D76538">
      <w:pPr>
        <w:pStyle w:val="ConsPlusNormal"/>
        <w:jc w:val="both"/>
      </w:pPr>
    </w:p>
    <w:p w:rsidR="00D76538" w:rsidRDefault="00D76538">
      <w:pPr>
        <w:pStyle w:val="ConsPlusNormal"/>
        <w:ind w:firstLine="540"/>
        <w:jc w:val="both"/>
      </w:pPr>
      <w:r>
        <w:lastRenderedPageBreak/>
        <w:t>2. Настоящее постановление вступает в силу через 10 дней после дня его официального опубликования.</w:t>
      </w:r>
    </w:p>
    <w:p w:rsidR="00D76538" w:rsidRDefault="00D76538">
      <w:pPr>
        <w:pStyle w:val="ConsPlusNormal"/>
        <w:jc w:val="both"/>
      </w:pPr>
    </w:p>
    <w:p w:rsidR="00D76538" w:rsidRDefault="00D76538">
      <w:pPr>
        <w:pStyle w:val="ConsPlusNormal"/>
        <w:jc w:val="right"/>
      </w:pPr>
      <w:r>
        <w:t>Министр</w:t>
      </w:r>
    </w:p>
    <w:p w:rsidR="00D76538" w:rsidRDefault="00D76538">
      <w:pPr>
        <w:pStyle w:val="ConsPlusNormal"/>
        <w:jc w:val="right"/>
      </w:pPr>
      <w:r>
        <w:t>М.А.КОЗЛОВА</w:t>
      </w:r>
    </w:p>
    <w:p w:rsidR="00D76538" w:rsidRDefault="00D76538">
      <w:pPr>
        <w:pStyle w:val="ConsPlusNormal"/>
        <w:jc w:val="both"/>
      </w:pPr>
    </w:p>
    <w:p w:rsidR="00D76538" w:rsidRDefault="00D76538">
      <w:pPr>
        <w:pStyle w:val="ConsPlusNormal"/>
        <w:jc w:val="both"/>
      </w:pPr>
    </w:p>
    <w:p w:rsidR="00D76538" w:rsidRDefault="00D765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538" w:rsidRDefault="00D76538">
      <w:bookmarkStart w:id="0" w:name="_GoBack"/>
      <w:bookmarkEnd w:id="0"/>
    </w:p>
    <w:sectPr w:rsidR="00D76538" w:rsidSect="0056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8"/>
    <w:rsid w:val="00D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3591-2AD5-4E58-A381-1DE4C10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6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6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6C53AFC950764A498FB0FF230A4A26612B45F67027583DFBEE2DFC84A9DC46D8F132D0D2F5163AB25FAFCAx7cCF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35446C53AFC950764A498FB0FF230A4A26612A46F07727583DFBEE2DFC84A9DC46D8F132D0D2F5163AB25FAFCAx7cCF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5446C53AFC950764A498FB0FF230A4A26602045F07127583DFBEE2DFC84A9DC46D8F132D0D2F5163AB25FAFCAx7cCF" TargetMode="External"/><Relationship Id="rId11" Type="http://schemas.openxmlformats.org/officeDocument/2006/relationships/hyperlink" Target="consultantplus://offline/ref=35446C53AFC950764A4991BDE94F57412A6E7D4CF67F2E0E65A6E87AA3D4AF891498AF6B9393E61638AC5DADC074E9F36FBD8574973A52876E15C1DEx6cDF" TargetMode="External"/><Relationship Id="rId5" Type="http://schemas.openxmlformats.org/officeDocument/2006/relationships/hyperlink" Target="consultantplus://offline/ref=35446C53AFC950764A498FB0FF230A4A26602740F77227583DFBEE2DFC84A9DC46D8F132D0D2F5163AB25FAFCAx7cCF" TargetMode="Externa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446C53AFC950764A4991BDE94F57412A6E7D4CF67F2E0E65A6E87AA3D4AF891498AF6B8193BE1A38A943AECA61BFA229xEcBF" TargetMode="External"/><Relationship Id="rId19" Type="http://schemas.openxmlformats.org/officeDocument/2006/relationships/image" Target="media/image8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446C53AFC950764A4991BDE94F57412A6E7D4CF67F2C0768ADE87AA3D4AF891498AF6B8193BE1A38A943AECA61BFA229xEcBF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Николаевна</dc:creator>
  <cp:keywords/>
  <dc:description/>
  <cp:lastModifiedBy>Орлова Елена Николаевна</cp:lastModifiedBy>
  <cp:revision>1</cp:revision>
  <dcterms:created xsi:type="dcterms:W3CDTF">2023-12-05T05:28:00Z</dcterms:created>
  <dcterms:modified xsi:type="dcterms:W3CDTF">2023-12-05T05:37:00Z</dcterms:modified>
</cp:coreProperties>
</file>